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2A" w:rsidRDefault="00122D2A" w:rsidP="00122D2A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113454BF" wp14:editId="1FA3E49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14450" cy="1314450"/>
            <wp:effectExtent l="0" t="0" r="0" b="0"/>
            <wp:wrapSquare wrapText="bothSides"/>
            <wp:docPr id="1" name="Picture 1" descr="H:\Profile\Desktop\Files for new website\images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e\Desktop\Files for new website\images[7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eastAsia="en-CA"/>
        </w:rPr>
        <w:drawing>
          <wp:inline distT="0" distB="0" distL="0" distR="0" wp14:anchorId="6E82E609" wp14:editId="2EBFDAA9">
            <wp:extent cx="1295400" cy="1358886"/>
            <wp:effectExtent l="0" t="0" r="0" b="0"/>
            <wp:docPr id="2" name="Picture 2" descr="H:\profile\desktop\logos\CHCI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file\desktop\logos\CHCI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2A" w:rsidRDefault="00122D2A" w:rsidP="00122D2A">
      <w:pPr>
        <w:pStyle w:val="Default"/>
        <w:jc w:val="center"/>
        <w:rPr>
          <w:b/>
          <w:bCs/>
          <w:sz w:val="32"/>
          <w:szCs w:val="32"/>
        </w:rPr>
      </w:pPr>
    </w:p>
    <w:p w:rsidR="00122D2A" w:rsidRDefault="00122D2A" w:rsidP="00122D2A">
      <w:pPr>
        <w:pStyle w:val="Default"/>
        <w:jc w:val="center"/>
        <w:rPr>
          <w:b/>
          <w:bCs/>
          <w:sz w:val="36"/>
          <w:szCs w:val="36"/>
        </w:rPr>
      </w:pPr>
      <w:r w:rsidRPr="00122D2A">
        <w:rPr>
          <w:b/>
          <w:bCs/>
          <w:sz w:val="36"/>
          <w:szCs w:val="36"/>
        </w:rPr>
        <w:t>Failing Conditions for the IB Diploma</w:t>
      </w:r>
    </w:p>
    <w:p w:rsidR="00122D2A" w:rsidRDefault="00122D2A" w:rsidP="00122D2A">
      <w:pPr>
        <w:pStyle w:val="Default"/>
        <w:rPr>
          <w:b/>
          <w:bCs/>
          <w:sz w:val="28"/>
          <w:szCs w:val="28"/>
        </w:rPr>
      </w:pPr>
    </w:p>
    <w:p w:rsidR="00122D2A" w:rsidRDefault="00122D2A" w:rsidP="00122D2A">
      <w:pPr>
        <w:pStyle w:val="Default"/>
        <w:rPr>
          <w:b/>
          <w:bCs/>
        </w:rPr>
      </w:pPr>
      <w:r w:rsidRPr="00122D2A">
        <w:rPr>
          <w:b/>
          <w:bCs/>
        </w:rPr>
        <w:t>It is the responsibility of the IB student</w:t>
      </w:r>
      <w:r>
        <w:rPr>
          <w:b/>
          <w:bCs/>
        </w:rPr>
        <w:t>s and their parents</w:t>
      </w:r>
      <w:r w:rsidRPr="00122D2A">
        <w:rPr>
          <w:b/>
          <w:bCs/>
        </w:rPr>
        <w:t xml:space="preserve"> to become familiar with the codes of conduct and regulations </w:t>
      </w:r>
      <w:r>
        <w:rPr>
          <w:b/>
          <w:bCs/>
        </w:rPr>
        <w:t>that govern IB schools.  These responsibilities can be found on the Cameron Heights website, under the IB tab, in the “For Parents”</w:t>
      </w:r>
      <w:r w:rsidR="001030C6">
        <w:rPr>
          <w:b/>
          <w:bCs/>
        </w:rPr>
        <w:t xml:space="preserve"> section</w:t>
      </w:r>
      <w:r>
        <w:rPr>
          <w:b/>
          <w:bCs/>
        </w:rPr>
        <w:t xml:space="preserve"> (</w:t>
      </w:r>
      <w:hyperlink r:id="rId7" w:history="1">
        <w:r w:rsidR="001030C6" w:rsidRPr="00F01FA3">
          <w:rPr>
            <w:rStyle w:val="Hyperlink"/>
            <w:b/>
            <w:bCs/>
          </w:rPr>
          <w:t>http://chc.wrdsb.ca/ib/for-parents/</w:t>
        </w:r>
      </w:hyperlink>
      <w:r w:rsidR="001030C6">
        <w:rPr>
          <w:b/>
          <w:bCs/>
        </w:rPr>
        <w:t>).</w:t>
      </w:r>
      <w:bookmarkStart w:id="0" w:name="_GoBack"/>
      <w:bookmarkEnd w:id="0"/>
    </w:p>
    <w:p w:rsidR="001030C6" w:rsidRDefault="001030C6" w:rsidP="00122D2A">
      <w:pPr>
        <w:pStyle w:val="Default"/>
        <w:rPr>
          <w:b/>
          <w:bCs/>
        </w:rPr>
      </w:pPr>
    </w:p>
    <w:p w:rsidR="001030C6" w:rsidRPr="00122D2A" w:rsidRDefault="001030C6" w:rsidP="00122D2A">
      <w:pPr>
        <w:pStyle w:val="Default"/>
        <w:rPr>
          <w:b/>
          <w:bCs/>
        </w:rPr>
      </w:pPr>
      <w:r>
        <w:rPr>
          <w:b/>
          <w:bCs/>
        </w:rPr>
        <w:t>The following codes are in effect from the May 2015 examination session, onward.</w:t>
      </w:r>
    </w:p>
    <w:p w:rsidR="00122D2A" w:rsidRDefault="00122D2A" w:rsidP="00122D2A">
      <w:pPr>
        <w:pStyle w:val="Default"/>
        <w:rPr>
          <w:sz w:val="28"/>
          <w:szCs w:val="28"/>
        </w:rPr>
      </w:pPr>
    </w:p>
    <w:p w:rsidR="00122D2A" w:rsidRPr="001030C6" w:rsidRDefault="00122D2A" w:rsidP="00122D2A">
      <w:pPr>
        <w:pStyle w:val="Default"/>
        <w:rPr>
          <w:sz w:val="28"/>
          <w:szCs w:val="28"/>
        </w:rPr>
      </w:pPr>
      <w:r w:rsidRPr="001030C6">
        <w:rPr>
          <w:sz w:val="28"/>
          <w:szCs w:val="28"/>
        </w:rPr>
        <w:t xml:space="preserve">From the May 2015 session the following failing conditions and associated codes will replace those in current use. </w:t>
      </w:r>
    </w:p>
    <w:p w:rsidR="001030C6" w:rsidRPr="001030C6" w:rsidRDefault="001030C6" w:rsidP="00122D2A">
      <w:pPr>
        <w:pStyle w:val="Default"/>
        <w:rPr>
          <w:sz w:val="28"/>
          <w:szCs w:val="28"/>
        </w:rPr>
      </w:pP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1. CAS requirements have not been met. </w:t>
      </w: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2. Candidate’s total points are fewer than 24. </w:t>
      </w: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3. An N has been given for theory of knowledge, extended essay or for a contributing subject. </w:t>
      </w: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4. A grade E has been awarded for one or both of theory of knowledge and the extended essay. </w:t>
      </w: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5. There is a grade 1 awarded in a subject/level. </w:t>
      </w: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6. Grade 2 has been awarded three or more times (HL or SL). </w:t>
      </w: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7. Grade 3 or below has been awarded four or more times (HL or SL). </w:t>
      </w:r>
    </w:p>
    <w:p w:rsidR="00122D2A" w:rsidRPr="001030C6" w:rsidRDefault="00122D2A" w:rsidP="00122D2A">
      <w:pPr>
        <w:pStyle w:val="Default"/>
        <w:spacing w:after="167"/>
        <w:rPr>
          <w:sz w:val="28"/>
          <w:szCs w:val="28"/>
        </w:rPr>
      </w:pPr>
      <w:r w:rsidRPr="001030C6">
        <w:rPr>
          <w:sz w:val="28"/>
          <w:szCs w:val="28"/>
        </w:rPr>
        <w:t xml:space="preserve">8. Candidate has gained fewer than 12 points on HL subjects (for candidates who register for four HL subjects, the three highest grades count). </w:t>
      </w:r>
    </w:p>
    <w:p w:rsidR="00122D2A" w:rsidRPr="001030C6" w:rsidRDefault="00122D2A" w:rsidP="00122D2A">
      <w:pPr>
        <w:pStyle w:val="Default"/>
        <w:rPr>
          <w:sz w:val="28"/>
          <w:szCs w:val="28"/>
        </w:rPr>
      </w:pPr>
      <w:r w:rsidRPr="001030C6">
        <w:rPr>
          <w:sz w:val="28"/>
          <w:szCs w:val="28"/>
        </w:rPr>
        <w:t>9.</w:t>
      </w:r>
      <w:r w:rsidRPr="001030C6">
        <w:rPr>
          <w:rFonts w:ascii="Calibri" w:hAnsi="Calibri" w:cs="Calibri"/>
          <w:sz w:val="28"/>
          <w:szCs w:val="28"/>
        </w:rPr>
        <w:t xml:space="preserve"> </w:t>
      </w:r>
      <w:r w:rsidRPr="001030C6">
        <w:rPr>
          <w:sz w:val="28"/>
          <w:szCs w:val="28"/>
        </w:rPr>
        <w:t xml:space="preserve">Candidate has gained fewer than 9 points on SL subjects (candidates who register for two SL subjects must gain at least 5 points at SL). </w:t>
      </w:r>
    </w:p>
    <w:p w:rsidR="00122D2A" w:rsidRPr="001030C6" w:rsidRDefault="00122D2A" w:rsidP="00122D2A">
      <w:pPr>
        <w:pStyle w:val="Default"/>
        <w:rPr>
          <w:sz w:val="28"/>
          <w:szCs w:val="28"/>
        </w:rPr>
      </w:pPr>
    </w:p>
    <w:sectPr w:rsidR="00122D2A" w:rsidRPr="001030C6" w:rsidSect="00122D2A"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A"/>
    <w:rsid w:val="001030C6"/>
    <w:rsid w:val="00122D2A"/>
    <w:rsid w:val="004C46BF"/>
    <w:rsid w:val="005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c.wrdsb.ca/ib/for-par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2</cp:revision>
  <cp:lastPrinted>2014-09-18T16:21:00Z</cp:lastPrinted>
  <dcterms:created xsi:type="dcterms:W3CDTF">2014-09-18T16:21:00Z</dcterms:created>
  <dcterms:modified xsi:type="dcterms:W3CDTF">2014-09-18T16:21:00Z</dcterms:modified>
</cp:coreProperties>
</file>