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826"/>
        <w:gridCol w:w="2786"/>
        <w:gridCol w:w="2789"/>
        <w:gridCol w:w="2144"/>
        <w:gridCol w:w="1478"/>
        <w:gridCol w:w="1011"/>
      </w:tblGrid>
      <w:tr w:rsidR="00A261EE" w:rsidRPr="00A261EE" w14:paraId="7F3E015B" w14:textId="77777777" w:rsidTr="00A261EE">
        <w:trPr>
          <w:trHeight w:val="465"/>
        </w:trPr>
        <w:tc>
          <w:tcPr>
            <w:tcW w:w="0" w:type="auto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1C3D85AD" w14:textId="77777777" w:rsidR="00A261EE" w:rsidRPr="00A261EE" w:rsidRDefault="00A261EE" w:rsidP="00A261E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TOK ESSAY Rubric -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Does the student present an appropriate and cogent analysis of knowledge questions in discussing the title?</w:t>
            </w:r>
          </w:p>
        </w:tc>
      </w:tr>
      <w:tr w:rsidR="00A261EE" w:rsidRPr="00A261EE" w14:paraId="0820AA5D" w14:textId="77777777" w:rsidTr="00A261EE">
        <w:tc>
          <w:tcPr>
            <w:tcW w:w="11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8C6F327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Aspect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536AD2A5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5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9–10</w:t>
            </w:r>
          </w:p>
        </w:tc>
        <w:tc>
          <w:tcPr>
            <w:tcW w:w="30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441FD59D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4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7–8</w:t>
            </w:r>
          </w:p>
        </w:tc>
        <w:tc>
          <w:tcPr>
            <w:tcW w:w="3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452C16D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3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5–6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45D340D3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2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3–4</w:t>
            </w:r>
          </w:p>
        </w:tc>
        <w:tc>
          <w:tcPr>
            <w:tcW w:w="11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546AAA67" w14:textId="77777777" w:rsidR="00A261EE" w:rsidRPr="00A261EE" w:rsidRDefault="00A261EE" w:rsidP="00A261E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1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1–2</w:t>
            </w:r>
          </w:p>
        </w:tc>
        <w:tc>
          <w:tcPr>
            <w:tcW w:w="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B1823C3" w14:textId="77777777" w:rsidR="00A261EE" w:rsidRPr="00A261EE" w:rsidRDefault="00A261EE" w:rsidP="00A261E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0</w:t>
            </w:r>
          </w:p>
        </w:tc>
      </w:tr>
      <w:tr w:rsidR="00A261EE" w:rsidRPr="00A261EE" w14:paraId="1CA34A5E" w14:textId="77777777" w:rsidTr="00A261EE">
        <w:tc>
          <w:tcPr>
            <w:tcW w:w="11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8345FF0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Understanding knowledge questions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C517632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There is a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sustained 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f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ocus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on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knowledge questions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connected to the prescribed title—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developed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with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investigation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of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different perspectives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linked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effectively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areas of knowledge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and/or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ways of knowing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30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C30273F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There is a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focus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on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knowledge questions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connected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 the prescribed title—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developed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with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acknowledgment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of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different perspectives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linked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areas of knowledge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and/or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ways of knowing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3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7E5E4F82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There is a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focus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on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some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knowledge questions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connected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 the prescribed title—with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some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development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linking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areas of knowledge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and/or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ways of knowing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31D3434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Some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knowledge questions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that are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connected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 the prescribed title are considered, but the essay is largely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descriptive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, with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superficial or limited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links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to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areas of knowledge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and/or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ways of knowing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11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26859AE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Knowledge questions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, where present, are weakly connected to the prescribed title—the essay is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descriptive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75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484510D3" w14:textId="77777777" w:rsidR="00A261EE" w:rsidRPr="00A261EE" w:rsidRDefault="00A261EE" w:rsidP="00A261EE">
            <w:pPr>
              <w:spacing w:after="0"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The essay does not reach a standard described by levels 1–5 or is not a response to one of the prescribed titles on the list for the current session.</w:t>
            </w:r>
          </w:p>
        </w:tc>
      </w:tr>
      <w:tr w:rsidR="00A261EE" w:rsidRPr="00A261EE" w14:paraId="7B0C8680" w14:textId="77777777" w:rsidTr="00A261EE">
        <w:tc>
          <w:tcPr>
            <w:tcW w:w="11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F68B836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Quality of analysis of knowledge questions</w:t>
            </w: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2F6FD512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Arguments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clear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, supported by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real-life examples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and are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effectively evaluated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;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counterclaims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are extensively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explored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;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implications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drawn.</w:t>
            </w:r>
          </w:p>
        </w:tc>
        <w:tc>
          <w:tcPr>
            <w:tcW w:w="30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704DEB21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Arguments 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clear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, supported by 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real-life examples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and are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evaluated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; some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counterclaims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are identified and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explored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3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784237C9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Some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arguments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clear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and supported by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examples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; some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counterclaims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are 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identified.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F632251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Arguments are offered but 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unclear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and/or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not supported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by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effective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examples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11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928407D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Assertions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 are offered but are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A261EE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not supported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vAlign w:val="center"/>
            <w:hideMark/>
          </w:tcPr>
          <w:p w14:paraId="583EC4B0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</w:tr>
      <w:tr w:rsidR="00A261EE" w:rsidRPr="00A261EE" w14:paraId="10E0290B" w14:textId="77777777" w:rsidTr="00A261EE">
        <w:tc>
          <w:tcPr>
            <w:tcW w:w="0" w:type="auto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A90D24A" w14:textId="77777777" w:rsidR="00A261EE" w:rsidRPr="00A261EE" w:rsidRDefault="00A261EE" w:rsidP="00A261EE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Some possible characteristics</w:t>
            </w:r>
          </w:p>
        </w:tc>
      </w:tr>
      <w:tr w:rsidR="00A261EE" w:rsidRPr="00A261EE" w14:paraId="0B2B38C5" w14:textId="77777777" w:rsidTr="00A261EE">
        <w:tc>
          <w:tcPr>
            <w:tcW w:w="11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2933B67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</w:p>
        </w:tc>
        <w:tc>
          <w:tcPr>
            <w:tcW w:w="30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55A9EEE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t>Cogent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Accomplished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Discerning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Individual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Lucid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Insightful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Compelling</w:t>
            </w:r>
          </w:p>
        </w:tc>
        <w:tc>
          <w:tcPr>
            <w:tcW w:w="30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08FF95C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t>Pertinent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Relevant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Thoughtful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Analytical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Organized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Credible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Coherent</w:t>
            </w:r>
          </w:p>
        </w:tc>
        <w:tc>
          <w:tcPr>
            <w:tcW w:w="30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E5E3AA8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t>Typical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Acceptable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Mainstream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Adequate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Competent</w:t>
            </w:r>
          </w:p>
        </w:tc>
        <w:tc>
          <w:tcPr>
            <w:tcW w:w="22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4FFCF8A7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t>Underdeveloped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Basic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Superficial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Derivative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Rudimentary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Limited</w:t>
            </w:r>
          </w:p>
        </w:tc>
        <w:tc>
          <w:tcPr>
            <w:tcW w:w="11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6DBEC4B" w14:textId="77777777" w:rsidR="00A261EE" w:rsidRPr="00A261EE" w:rsidRDefault="00A261EE" w:rsidP="00A261E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t>Ineffective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Descriptive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Incoherent </w:t>
            </w:r>
            <w:r w:rsidRPr="00A261EE">
              <w:rPr>
                <w:rFonts w:ascii="Helvetica" w:eastAsia="Times New Roman" w:hAnsi="Helvetica" w:cs="Helvetica"/>
                <w:sz w:val="18"/>
                <w:szCs w:val="21"/>
              </w:rPr>
              <w:br/>
              <w:t>Formless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4D9FB" w14:textId="77777777" w:rsidR="00A261EE" w:rsidRPr="00A261EE" w:rsidRDefault="00A261EE" w:rsidP="00A2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2D9517" w14:textId="77777777" w:rsidR="005B6BBE" w:rsidRDefault="005B6BBE"/>
    <w:p w14:paraId="33BD5DAF" w14:textId="77777777" w:rsidR="00384D2B" w:rsidRDefault="00384D2B">
      <w:r>
        <w:br w:type="page"/>
      </w:r>
    </w:p>
    <w:tbl>
      <w:tblPr>
        <w:tblW w:w="1443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586"/>
        <w:gridCol w:w="2586"/>
        <w:gridCol w:w="2586"/>
        <w:gridCol w:w="2586"/>
        <w:gridCol w:w="2586"/>
      </w:tblGrid>
      <w:tr w:rsidR="00384D2B" w:rsidRPr="00A261EE" w14:paraId="168B93C4" w14:textId="77777777" w:rsidTr="006F0DFD">
        <w:trPr>
          <w:trHeight w:val="465"/>
        </w:trPr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02BFE39C" w14:textId="77777777" w:rsidR="00384D2B" w:rsidRPr="00A261EE" w:rsidRDefault="00384D2B" w:rsidP="006F0DFD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lastRenderedPageBreak/>
              <w:t xml:space="preserve">TOK ESSAY Rubric SIMPLIFIED </w:t>
            </w:r>
            <w:r w:rsidRPr="00384D2B">
              <w:rPr>
                <w:rFonts w:ascii="Helvetica" w:eastAsia="Times New Roman" w:hAnsi="Helvetica" w:cs="Helvetica"/>
                <w:bCs/>
                <w:sz w:val="21"/>
                <w:szCs w:val="21"/>
              </w:rPr>
              <w:t>- Does the student present an appropriate and cogent analysis of knowledge questions in discussing the title?</w:t>
            </w:r>
          </w:p>
        </w:tc>
      </w:tr>
      <w:tr w:rsidR="009F64D4" w:rsidRPr="00A261EE" w14:paraId="77003C07" w14:textId="77777777" w:rsidTr="009F64D4"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3B0939C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Aspect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281B8424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5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9–10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42A922F5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4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7–8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DAEEE96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3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5–6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B03EBAC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2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3–4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0751701" w14:textId="77777777" w:rsidR="00384D2B" w:rsidRPr="00A261EE" w:rsidRDefault="00384D2B" w:rsidP="006F0D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Level 1 </w:t>
            </w: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br/>
              <w:t>1–2</w:t>
            </w:r>
          </w:p>
        </w:tc>
      </w:tr>
      <w:tr w:rsidR="009F64D4" w:rsidRPr="00A261EE" w14:paraId="010B5026" w14:textId="77777777" w:rsidTr="009F64D4"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5F0BE15C" w14:textId="77777777" w:rsidR="00384D2B" w:rsidRPr="00A261EE" w:rsidRDefault="00384D2B" w:rsidP="006F0DF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Understanding knowledge questions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5D17A55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KQs</w:t>
            </w:r>
          </w:p>
          <w:p w14:paraId="304F0F02" w14:textId="77777777" w:rsidR="009F64D4" w:rsidRPr="009F64D4" w:rsidRDefault="009F64D4" w:rsidP="009F64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71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Sustained focus</w:t>
            </w:r>
          </w:p>
          <w:p w14:paraId="63FF8A6E" w14:textId="77777777" w:rsidR="009F64D4" w:rsidRPr="009F64D4" w:rsidRDefault="009F64D4" w:rsidP="009F64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71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Conne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c</w:t>
            </w: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ted to PT</w:t>
            </w:r>
          </w:p>
          <w:p w14:paraId="5D6E7B78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Investigate different </w:t>
            </w:r>
            <w:r w:rsidR="004A3BB1">
              <w:rPr>
                <w:rFonts w:ascii="Helvetica" w:eastAsia="Times New Roman" w:hAnsi="Helvetica" w:cs="Helvetica"/>
                <w:sz w:val="21"/>
                <w:szCs w:val="21"/>
              </w:rPr>
              <w:t>perspectives</w:t>
            </w:r>
          </w:p>
          <w:p w14:paraId="72839ECE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Effectively linked to Aok and/or WoK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E703A79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KQs</w:t>
            </w:r>
          </w:p>
          <w:p w14:paraId="728014B0" w14:textId="77777777" w:rsidR="009F64D4" w:rsidRPr="009F64D4" w:rsidRDefault="009F64D4" w:rsidP="009F64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Focused on</w:t>
            </w:r>
          </w:p>
          <w:p w14:paraId="36A690E2" w14:textId="77777777" w:rsidR="009F64D4" w:rsidRPr="009F64D4" w:rsidRDefault="009F64D4" w:rsidP="009F64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Conne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c</w:t>
            </w: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ted to PT</w:t>
            </w:r>
          </w:p>
          <w:p w14:paraId="2F110C23" w14:textId="77777777" w:rsidR="009F64D4" w:rsidRPr="009F64D4" w:rsidRDefault="009F64D4" w:rsidP="009F64D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Developed</w:t>
            </w:r>
          </w:p>
          <w:p w14:paraId="3C0B72FB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Acknowledge different perspectives</w:t>
            </w:r>
          </w:p>
          <w:p w14:paraId="1E46DFFA" w14:textId="77777777" w:rsidR="009F64D4" w:rsidRPr="009F64D4" w:rsidRDefault="009F64D4" w:rsidP="009F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Linked to Aok and/or WoK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200B36AA" w14:textId="77777777" w:rsidR="009F64D4" w:rsidRPr="009F64D4" w:rsidRDefault="009F64D4" w:rsidP="009F6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KQs</w:t>
            </w:r>
          </w:p>
          <w:p w14:paraId="693CDE1D" w14:textId="77777777" w:rsidR="009F64D4" w:rsidRPr="009F64D4" w:rsidRDefault="009F64D4" w:rsidP="009F64D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Connected to PT</w:t>
            </w:r>
          </w:p>
          <w:p w14:paraId="5F21EDE1" w14:textId="77777777" w:rsidR="009F64D4" w:rsidRPr="009F64D4" w:rsidRDefault="009F64D4" w:rsidP="009F64D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Some development</w:t>
            </w:r>
          </w:p>
          <w:p w14:paraId="33AFA76E" w14:textId="77777777" w:rsidR="009F64D4" w:rsidRPr="009F64D4" w:rsidRDefault="009F64D4" w:rsidP="009F64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sz w:val="21"/>
                <w:szCs w:val="21"/>
              </w:rPr>
              <w:t>Linked to AoK and/or Wok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74B706DE" w14:textId="77777777" w:rsidR="00384D2B" w:rsidRPr="00FC59E8" w:rsidRDefault="00384D2B" w:rsidP="009F64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>KQs</w:t>
            </w:r>
          </w:p>
          <w:p w14:paraId="2C8F5FAC" w14:textId="77777777" w:rsidR="00384D2B" w:rsidRPr="00FC59E8" w:rsidRDefault="00384D2B" w:rsidP="009F64D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 xml:space="preserve">Descriptive / </w:t>
            </w:r>
            <w:r w:rsidR="00FC59E8" w:rsidRPr="00FC59E8">
              <w:rPr>
                <w:rFonts w:ascii="Helvetica" w:eastAsia="Times New Roman" w:hAnsi="Helvetica" w:cs="Helvetica"/>
                <w:sz w:val="21"/>
                <w:szCs w:val="21"/>
              </w:rPr>
              <w:t>Superficial</w:t>
            </w:r>
          </w:p>
          <w:p w14:paraId="1356080D" w14:textId="77777777" w:rsidR="00384D2B" w:rsidRPr="00FC59E8" w:rsidRDefault="00FC59E8" w:rsidP="009F64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>Limited connection to AOK or WOK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667FA7E6" w14:textId="77777777" w:rsidR="00384D2B" w:rsidRPr="00384D2B" w:rsidRDefault="00384D2B" w:rsidP="009F6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KQs</w:t>
            </w:r>
          </w:p>
          <w:p w14:paraId="4A58FFD7" w14:textId="77777777" w:rsidR="00384D2B" w:rsidRPr="00384D2B" w:rsidRDefault="00384D2B" w:rsidP="009F64D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84D2B">
              <w:rPr>
                <w:rFonts w:ascii="Helvetica" w:eastAsia="Times New Roman" w:hAnsi="Helvetica" w:cs="Helvetica"/>
                <w:sz w:val="21"/>
                <w:szCs w:val="21"/>
              </w:rPr>
              <w:t>Weak connection to Title</w:t>
            </w:r>
          </w:p>
          <w:p w14:paraId="535BBA6A" w14:textId="77777777" w:rsidR="00384D2B" w:rsidRPr="00384D2B" w:rsidRDefault="00384D2B" w:rsidP="009F64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84D2B">
              <w:rPr>
                <w:rFonts w:ascii="Helvetica" w:eastAsia="Times New Roman" w:hAnsi="Helvetica" w:cs="Helvetica"/>
                <w:sz w:val="21"/>
                <w:szCs w:val="21"/>
              </w:rPr>
              <w:t>Descriptive</w:t>
            </w:r>
          </w:p>
        </w:tc>
      </w:tr>
      <w:tr w:rsidR="009F64D4" w:rsidRPr="00A261EE" w14:paraId="3DABDA42" w14:textId="77777777" w:rsidTr="009F64D4">
        <w:tc>
          <w:tcPr>
            <w:tcW w:w="1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2A0E7AE7" w14:textId="77777777" w:rsidR="00384D2B" w:rsidRPr="00A261EE" w:rsidRDefault="00384D2B" w:rsidP="006F0DF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A261EE">
              <w:rPr>
                <w:rFonts w:ascii="Helvetica" w:eastAsia="Times New Roman" w:hAnsi="Helvetica" w:cs="Helvetica"/>
                <w:sz w:val="21"/>
                <w:szCs w:val="21"/>
              </w:rPr>
              <w:t>Quality of analysis of knowledge questions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088DB322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Arguments</w:t>
            </w:r>
          </w:p>
          <w:p w14:paraId="3F1DDBB5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1" w:hanging="193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clear</w:t>
            </w:r>
          </w:p>
          <w:p w14:paraId="7782815C" w14:textId="77777777" w:rsid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1" w:hanging="193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Supported by 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RLS </w:t>
            </w: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examples</w:t>
            </w:r>
          </w:p>
          <w:p w14:paraId="64A99D68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451" w:hanging="193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Effectively Evaluated</w:t>
            </w:r>
          </w:p>
          <w:p w14:paraId="5A0889B4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Counterclaims 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extensively explored</w:t>
            </w:r>
          </w:p>
          <w:p w14:paraId="14979FF3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93" w:hanging="193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Implication drawn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7DFF3CA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Arguments</w:t>
            </w:r>
          </w:p>
          <w:p w14:paraId="05983CF1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clear</w:t>
            </w:r>
          </w:p>
          <w:p w14:paraId="3C6691A3" w14:textId="77777777" w:rsid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Supported by </w:t>
            </w: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RLS </w:t>
            </w: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examples</w:t>
            </w:r>
          </w:p>
          <w:p w14:paraId="45EDFADF" w14:textId="77777777" w:rsidR="009F64D4" w:rsidRPr="009F64D4" w:rsidRDefault="009F64D4" w:rsidP="004A3BB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84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Evaluated</w:t>
            </w:r>
          </w:p>
          <w:p w14:paraId="55BE22FD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Counterclaims identified</w:t>
            </w:r>
          </w:p>
          <w:p w14:paraId="7A5125EA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67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Explored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16287254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Arguments</w:t>
            </w:r>
          </w:p>
          <w:p w14:paraId="28B6BEC8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Some are clear</w:t>
            </w:r>
          </w:p>
          <w:p w14:paraId="05C1D654" w14:textId="77777777" w:rsidR="009F64D4" w:rsidRPr="009F64D4" w:rsidRDefault="009F64D4" w:rsidP="009F64D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Supported by examples</w:t>
            </w:r>
          </w:p>
          <w:p w14:paraId="7847F58E" w14:textId="77777777" w:rsidR="009F64D4" w:rsidRPr="009F64D4" w:rsidRDefault="009F64D4" w:rsidP="009F6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>Counterclaims identified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7BA44CC2" w14:textId="77777777" w:rsidR="00FC59E8" w:rsidRPr="00FC59E8" w:rsidRDefault="00FC59E8" w:rsidP="009F64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>Arguments</w:t>
            </w:r>
          </w:p>
          <w:p w14:paraId="69219833" w14:textId="77777777" w:rsidR="00FC59E8" w:rsidRPr="00FC59E8" w:rsidRDefault="00FC59E8" w:rsidP="009F64D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>Unclear / not supported</w:t>
            </w:r>
          </w:p>
          <w:p w14:paraId="48D8C1C1" w14:textId="77777777" w:rsidR="00FC59E8" w:rsidRPr="00FC59E8" w:rsidRDefault="00FC59E8" w:rsidP="009F64D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FC59E8">
              <w:rPr>
                <w:rFonts w:ascii="Helvetica" w:eastAsia="Times New Roman" w:hAnsi="Helvetica" w:cs="Helvetica"/>
                <w:sz w:val="21"/>
                <w:szCs w:val="21"/>
              </w:rPr>
              <w:t>No effective examples</w:t>
            </w:r>
          </w:p>
        </w:tc>
        <w:tc>
          <w:tcPr>
            <w:tcW w:w="2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14:paraId="3E8DF22A" w14:textId="77777777" w:rsidR="00384D2B" w:rsidRPr="009F64D4" w:rsidRDefault="00384D2B" w:rsidP="009F64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8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9F64D4">
              <w:rPr>
                <w:rFonts w:ascii="Helvetica" w:eastAsia="Times New Roman" w:hAnsi="Helvetica" w:cs="Helvetica"/>
                <w:bCs/>
                <w:sz w:val="21"/>
                <w:szCs w:val="21"/>
              </w:rPr>
              <w:t>Assertions</w:t>
            </w:r>
          </w:p>
          <w:p w14:paraId="6690020F" w14:textId="77777777" w:rsidR="00384D2B" w:rsidRPr="00384D2B" w:rsidRDefault="00384D2B" w:rsidP="009F64D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569" w:hanging="207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84D2B">
              <w:rPr>
                <w:rFonts w:ascii="Helvetica" w:eastAsia="Times New Roman" w:hAnsi="Helvetica" w:cs="Helvetica"/>
                <w:sz w:val="21"/>
                <w:szCs w:val="21"/>
              </w:rPr>
              <w:t>Not supported</w:t>
            </w:r>
          </w:p>
        </w:tc>
      </w:tr>
    </w:tbl>
    <w:p w14:paraId="04E0E388" w14:textId="77777777" w:rsidR="004A3BB1" w:rsidRDefault="004A3BB1" w:rsidP="004A3BB1">
      <w:pPr>
        <w:spacing w:after="0" w:line="240" w:lineRule="auto"/>
        <w:ind w:left="720" w:hanging="720"/>
      </w:pPr>
      <w:r w:rsidRPr="004A3BB1">
        <w:rPr>
          <w:u w:val="single"/>
        </w:rPr>
        <w:t>Assertions</w:t>
      </w:r>
      <w:r>
        <w:t>: Knowledge Claims / statement of fact or belief.</w:t>
      </w:r>
    </w:p>
    <w:p w14:paraId="42858BCF" w14:textId="77777777" w:rsidR="004A3BB1" w:rsidRDefault="004A3BB1" w:rsidP="004A3BB1">
      <w:pPr>
        <w:spacing w:after="0" w:line="240" w:lineRule="auto"/>
        <w:ind w:left="720" w:hanging="720"/>
      </w:pPr>
      <w:r w:rsidRPr="004A3BB1">
        <w:rPr>
          <w:u w:val="single"/>
        </w:rPr>
        <w:t>Clear:</w:t>
      </w:r>
      <w:r>
        <w:t xml:space="preserve"> applicable and understandable of connection to topic</w:t>
      </w:r>
    </w:p>
    <w:p w14:paraId="18514EE8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Counterclaims:</w:t>
      </w:r>
      <w:r>
        <w:t xml:space="preserve"> claim stating the opposite point of view. Not necessarily total negation, but simply another way of viewing something</w:t>
      </w:r>
    </w:p>
    <w:p w14:paraId="024CD16F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Descriptive:</w:t>
      </w:r>
      <w:r>
        <w:t xml:space="preserve"> merely describing the KQ and/or RLS with no additional analysis</w:t>
      </w:r>
    </w:p>
    <w:p w14:paraId="580B36CF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Development:</w:t>
      </w:r>
      <w:r>
        <w:t xml:space="preserve"> showing positives and negatives of more than one possibility - use of 4-square -/+ grid</w:t>
      </w:r>
    </w:p>
    <w:p w14:paraId="414298D7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Different Perspectives:</w:t>
      </w:r>
      <w:r>
        <w:t xml:space="preserve"> try to consider how those looking from a different perspective might view the KQs in your essay. Ex: Gender, Geographical location</w:t>
      </w:r>
      <w:r w:rsidR="00281107">
        <w:t>, Religion</w:t>
      </w:r>
      <w:r>
        <w:t>/philosophical position, Historical era, Language, Cultural tradition, Socio</w:t>
      </w:r>
      <w:r w:rsidR="00281107">
        <w:t>-</w:t>
      </w:r>
      <w:r>
        <w:t>economic position, Educational system, Profession or career</w:t>
      </w:r>
    </w:p>
    <w:p w14:paraId="32EE4154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Evaluated:</w:t>
      </w:r>
      <w:r>
        <w:t xml:space="preserve"> positives and negatives of position given to show holistic perspective</w:t>
      </w:r>
    </w:p>
    <w:p w14:paraId="794D0975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Examples:</w:t>
      </w:r>
      <w:r>
        <w:t xml:space="preserve"> used to explore claims and counterclaims. Can be both shared &amp;</w:t>
      </w:r>
      <w:r w:rsidR="00281107">
        <w:t>/or</w:t>
      </w:r>
      <w:r>
        <w:t xml:space="preserve"> personal knowledge.  Usually academic in nature. AVOID Hypothetical, anecdotal, and clichéd example</w:t>
      </w:r>
    </w:p>
    <w:p w14:paraId="1B70B475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Explored:</w:t>
      </w:r>
      <w:r>
        <w:t xml:space="preserve"> positive and </w:t>
      </w:r>
      <w:r w:rsidR="00281107">
        <w:t>negatives perspective</w:t>
      </w:r>
      <w:r>
        <w:t xml:space="preserve"> considered. Subject evaluated from many perspective and </w:t>
      </w:r>
      <w:r w:rsidR="00281107">
        <w:t>angles</w:t>
      </w:r>
      <w:r>
        <w:t>. NOT superficial</w:t>
      </w:r>
    </w:p>
    <w:p w14:paraId="4DC7B628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Focused:</w:t>
      </w:r>
      <w:r>
        <w:t xml:space="preserve"> all writing, claims, and examples are directly connected to PT. </w:t>
      </w:r>
      <w:r w:rsidR="00281107">
        <w:t>C</w:t>
      </w:r>
      <w:r w:rsidR="00281107" w:rsidRPr="00281107">
        <w:t>oncise</w:t>
      </w:r>
      <w:r w:rsidR="00281107">
        <w:t xml:space="preserve"> </w:t>
      </w:r>
      <w:r>
        <w:t>and direct writing with no fluff</w:t>
      </w:r>
    </w:p>
    <w:p w14:paraId="01A40B94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Implications Drawn:</w:t>
      </w:r>
      <w:r>
        <w:t xml:space="preserve"> explicitly stating why your arguments are important.  Emphasize on argument’s significance and </w:t>
      </w:r>
      <w:r w:rsidR="00281107">
        <w:t>demonstrate awareness</w:t>
      </w:r>
      <w:r>
        <w:t xml:space="preserve"> of this through application beyond argument (ex: in world or society in general). Can be done effectively though different </w:t>
      </w:r>
      <w:r w:rsidR="00281107">
        <w:t>perspectives</w:t>
      </w:r>
    </w:p>
    <w:p w14:paraId="0D5CE796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Knowledge Question (KQ):</w:t>
      </w:r>
      <w:r>
        <w:t xml:space="preserve">  a question, or issue, about </w:t>
      </w:r>
      <w:r w:rsidR="00281107">
        <w:t>knowledge</w:t>
      </w:r>
      <w:r>
        <w:t xml:space="preserve">. </w:t>
      </w:r>
      <w:r w:rsidR="00281107">
        <w:t>Open</w:t>
      </w:r>
      <w:r>
        <w:t xml:space="preserve"> questions, which means that they don’t have obvious and clearly</w:t>
      </w:r>
      <w:r w:rsidR="00281107">
        <w:t>-</w:t>
      </w:r>
      <w:r>
        <w:t>defined answers, and can be interpreted differently depending on the perspective you view them from.</w:t>
      </w:r>
    </w:p>
    <w:p w14:paraId="402D2F86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Linked to AoK / WoK:</w:t>
      </w:r>
      <w:r>
        <w:t xml:space="preserve"> KQ, </w:t>
      </w:r>
      <w:r w:rsidR="00281107">
        <w:t>d</w:t>
      </w:r>
      <w:r>
        <w:t>evelopment, and examples refer directly to HOW WE KNOW in a specific Area of Knowledge or Way of Knowing.</w:t>
      </w:r>
    </w:p>
    <w:p w14:paraId="2084F858" w14:textId="77777777" w:rsidR="004A3BB1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Prescribed Title (PT):</w:t>
      </w:r>
      <w:r>
        <w:t xml:space="preserve"> set of 6 question IB gives for TOK Essay. If not writing the TOK Essay, PT can also be considered you</w:t>
      </w:r>
      <w:r w:rsidR="00281107">
        <w:t>r</w:t>
      </w:r>
      <w:r>
        <w:t xml:space="preserve"> topic or the main KQ you are writing about</w:t>
      </w:r>
    </w:p>
    <w:p w14:paraId="2837FCDF" w14:textId="77777777" w:rsidR="00281107" w:rsidRDefault="004A3BB1" w:rsidP="004A3BB1">
      <w:pPr>
        <w:spacing w:after="0" w:line="240" w:lineRule="auto"/>
        <w:ind w:left="720" w:hanging="720"/>
      </w:pPr>
      <w:r w:rsidRPr="00281107">
        <w:rPr>
          <w:u w:val="single"/>
        </w:rPr>
        <w:t>Superficial:</w:t>
      </w:r>
      <w:r>
        <w:t xml:space="preserve">  existing or occurring at or on the surface. Lack</w:t>
      </w:r>
      <w:r w:rsidR="00281107">
        <w:t>ing in</w:t>
      </w:r>
      <w:r>
        <w:t xml:space="preserve"> depth</w:t>
      </w:r>
      <w:r w:rsidR="00281107">
        <w:t>. Option without su</w:t>
      </w:r>
      <w:r w:rsidR="00527993">
        <w:t>pport or eviden</w:t>
      </w:r>
    </w:p>
    <w:sectPr w:rsidR="00281107" w:rsidSect="00A261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068"/>
    <w:multiLevelType w:val="hybridMultilevel"/>
    <w:tmpl w:val="33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0659"/>
    <w:multiLevelType w:val="hybridMultilevel"/>
    <w:tmpl w:val="4CE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2B9"/>
    <w:multiLevelType w:val="hybridMultilevel"/>
    <w:tmpl w:val="D984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1B16"/>
    <w:multiLevelType w:val="hybridMultilevel"/>
    <w:tmpl w:val="650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467"/>
    <w:multiLevelType w:val="hybridMultilevel"/>
    <w:tmpl w:val="C0C2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C3FA0"/>
    <w:multiLevelType w:val="hybridMultilevel"/>
    <w:tmpl w:val="707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35F20"/>
    <w:multiLevelType w:val="hybridMultilevel"/>
    <w:tmpl w:val="340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E"/>
    <w:rsid w:val="00281107"/>
    <w:rsid w:val="00384D2B"/>
    <w:rsid w:val="0049119B"/>
    <w:rsid w:val="004A3BB1"/>
    <w:rsid w:val="00527993"/>
    <w:rsid w:val="005B6BBE"/>
    <w:rsid w:val="007D509F"/>
    <w:rsid w:val="008017B5"/>
    <w:rsid w:val="009F64D4"/>
    <w:rsid w:val="00A261EE"/>
    <w:rsid w:val="00A368AC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3F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1EE"/>
    <w:rPr>
      <w:b/>
      <w:bCs/>
    </w:rPr>
  </w:style>
  <w:style w:type="character" w:customStyle="1" w:styleId="apple-converted-space">
    <w:name w:val="apple-converted-space"/>
    <w:basedOn w:val="DefaultParagraphFont"/>
    <w:rsid w:val="00A261EE"/>
  </w:style>
  <w:style w:type="character" w:styleId="Emphasis">
    <w:name w:val="Emphasis"/>
    <w:basedOn w:val="DefaultParagraphFont"/>
    <w:uiPriority w:val="20"/>
    <w:qFormat/>
    <w:rsid w:val="00A261EE"/>
    <w:rPr>
      <w:i/>
      <w:iCs/>
    </w:rPr>
  </w:style>
  <w:style w:type="paragraph" w:styleId="ListParagraph">
    <w:name w:val="List Paragraph"/>
    <w:basedOn w:val="Normal"/>
    <w:uiPriority w:val="34"/>
    <w:qFormat/>
    <w:rsid w:val="00384D2B"/>
    <w:pPr>
      <w:ind w:left="720"/>
      <w:contextualSpacing/>
    </w:pPr>
  </w:style>
  <w:style w:type="table" w:styleId="TableGrid">
    <w:name w:val="Table Grid"/>
    <w:basedOn w:val="TableNormal"/>
    <w:uiPriority w:val="59"/>
    <w:rsid w:val="0049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1EE"/>
    <w:rPr>
      <w:b/>
      <w:bCs/>
    </w:rPr>
  </w:style>
  <w:style w:type="character" w:customStyle="1" w:styleId="apple-converted-space">
    <w:name w:val="apple-converted-space"/>
    <w:basedOn w:val="DefaultParagraphFont"/>
    <w:rsid w:val="00A261EE"/>
  </w:style>
  <w:style w:type="character" w:styleId="Emphasis">
    <w:name w:val="Emphasis"/>
    <w:basedOn w:val="DefaultParagraphFont"/>
    <w:uiPriority w:val="20"/>
    <w:qFormat/>
    <w:rsid w:val="00A261EE"/>
    <w:rPr>
      <w:i/>
      <w:iCs/>
    </w:rPr>
  </w:style>
  <w:style w:type="paragraph" w:styleId="ListParagraph">
    <w:name w:val="List Paragraph"/>
    <w:basedOn w:val="Normal"/>
    <w:uiPriority w:val="34"/>
    <w:qFormat/>
    <w:rsid w:val="00384D2B"/>
    <w:pPr>
      <w:ind w:left="720"/>
      <w:contextualSpacing/>
    </w:pPr>
  </w:style>
  <w:style w:type="table" w:styleId="TableGrid">
    <w:name w:val="Table Grid"/>
    <w:basedOn w:val="TableNormal"/>
    <w:uiPriority w:val="59"/>
    <w:rsid w:val="0049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EA6284-AD9C-4644-BA70-AD371EC1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Julie Neeb</cp:lastModifiedBy>
  <cp:revision>2</cp:revision>
  <dcterms:created xsi:type="dcterms:W3CDTF">2016-10-24T17:21:00Z</dcterms:created>
  <dcterms:modified xsi:type="dcterms:W3CDTF">2016-10-24T17:21:00Z</dcterms:modified>
</cp:coreProperties>
</file>